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77" w:rsidRDefault="00D76B77" w:rsidP="00D76B77">
      <w:pPr>
        <w:pStyle w:val="1"/>
      </w:pPr>
      <w:r>
        <w:t>(763-30-4)2-甲基-1,4-戊二烯的理化及危险特性表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D76B7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标</w:t>
            </w:r>
          </w:p>
          <w:p w:rsidR="00D76B77" w:rsidRDefault="00D76B77" w:rsidP="0090435F">
            <w:pPr>
              <w:spacing w:line="26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中文名:</w:t>
            </w:r>
            <w:r>
              <w:rPr>
                <w:rFonts w:ascii="宋体" w:hAnsi="宋体" w:hint="eastAsia"/>
                <w:szCs w:val="18"/>
              </w:rPr>
              <w:t xml:space="preserve"> 2-甲基-1,4-戊二烯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英文名:</w:t>
            </w:r>
            <w:r>
              <w:rPr>
                <w:rFonts w:ascii="宋体" w:hAnsi="宋体" w:hint="eastAsia"/>
                <w:szCs w:val="18"/>
              </w:rPr>
              <w:t xml:space="preserve"> 2-methyl-1,4-pentadiene </w:t>
            </w:r>
          </w:p>
        </w:tc>
      </w:tr>
      <w:tr w:rsidR="00D76B77" w:rsidTr="0090435F">
        <w:trPr>
          <w:cantSplit/>
          <w:jc w:val="center"/>
        </w:trPr>
        <w:tc>
          <w:tcPr>
            <w:tcW w:w="489" w:type="dxa"/>
            <w:vMerge/>
            <w:tcBorders>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696"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UN编号：2461</w:t>
            </w:r>
          </w:p>
        </w:tc>
      </w:tr>
      <w:tr w:rsidR="00D76B77" w:rsidTr="0090435F">
        <w:trPr>
          <w:cantSplit/>
          <w:jc w:val="center"/>
        </w:trPr>
        <w:tc>
          <w:tcPr>
            <w:tcW w:w="489" w:type="dxa"/>
            <w:vMerge/>
            <w:tcBorders>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危规号： 31015</w:t>
            </w:r>
          </w:p>
        </w:tc>
        <w:tc>
          <w:tcPr>
            <w:tcW w:w="2170"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CAS号：</w:t>
            </w:r>
            <w:r>
              <w:rPr>
                <w:rFonts w:ascii="宋体" w:hAnsi="宋体" w:hint="eastAsia"/>
                <w:szCs w:val="18"/>
              </w:rPr>
              <w:t>763-30-4</w:t>
            </w:r>
          </w:p>
        </w:tc>
      </w:tr>
      <w:tr w:rsidR="00D76B77" w:rsidTr="0090435F">
        <w:trPr>
          <w:cantSplit/>
          <w:jc w:val="center"/>
        </w:trPr>
        <w:tc>
          <w:tcPr>
            <w:tcW w:w="489" w:type="dxa"/>
            <w:vMerge/>
            <w:tcBorders>
              <w:left w:val="single" w:sz="4" w:space="0" w:color="auto"/>
              <w:bottom w:val="nil"/>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 xml:space="preserve">包装类别： </w:t>
            </w:r>
          </w:p>
        </w:tc>
      </w:tr>
      <w:tr w:rsidR="00D76B77"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理</w:t>
            </w:r>
          </w:p>
          <w:p w:rsidR="00D76B77" w:rsidRDefault="00D76B77" w:rsidP="0090435F">
            <w:pPr>
              <w:spacing w:line="262" w:lineRule="exact"/>
              <w:jc w:val="center"/>
              <w:rPr>
                <w:rFonts w:ascii="宋体" w:hAnsi="宋体"/>
              </w:rPr>
            </w:pPr>
            <w:r>
              <w:rPr>
                <w:rFonts w:ascii="宋体" w:hAnsi="宋体" w:hint="eastAsia"/>
              </w:rPr>
              <w:t>化</w:t>
            </w:r>
          </w:p>
          <w:p w:rsidR="00D76B77" w:rsidRDefault="00D76B77" w:rsidP="0090435F">
            <w:pPr>
              <w:spacing w:line="262" w:lineRule="exact"/>
              <w:jc w:val="center"/>
              <w:rPr>
                <w:rFonts w:ascii="宋体" w:hAnsi="宋体"/>
              </w:rPr>
            </w:pPr>
            <w:r>
              <w:rPr>
                <w:rFonts w:ascii="宋体" w:hAnsi="宋体" w:hint="eastAsia"/>
              </w:rPr>
              <w:t>性</w:t>
            </w:r>
          </w:p>
          <w:p w:rsidR="00D76B77" w:rsidRDefault="00D76B77" w:rsidP="0090435F">
            <w:pPr>
              <w:spacing w:line="26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外观与性状：</w:t>
            </w:r>
            <w:r>
              <w:rPr>
                <w:rFonts w:ascii="宋体" w:hAnsi="宋体" w:hint="eastAsia"/>
                <w:szCs w:val="18"/>
              </w:rPr>
              <w:t>无色液体。</w:t>
            </w:r>
          </w:p>
        </w:tc>
      </w:tr>
      <w:tr w:rsidR="00D76B7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溶解性 ：</w:t>
            </w:r>
            <w:r>
              <w:rPr>
                <w:rFonts w:ascii="宋体" w:hAnsi="宋体" w:hint="eastAsia"/>
                <w:szCs w:val="18"/>
              </w:rPr>
              <w:t>不溶于水，溶于多数有机溶剂。</w:t>
            </w:r>
          </w:p>
        </w:tc>
      </w:tr>
      <w:tr w:rsidR="00D76B7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沸点（℃）：</w:t>
            </w:r>
            <w:r>
              <w:rPr>
                <w:rFonts w:ascii="宋体" w:hAnsi="宋体" w:hint="eastAsia"/>
                <w:szCs w:val="18"/>
              </w:rPr>
              <w:t>56</w:t>
            </w:r>
          </w:p>
        </w:tc>
      </w:tr>
      <w:tr w:rsidR="00D76B7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相对密度（水＝1）：</w:t>
            </w:r>
            <w:r>
              <w:rPr>
                <w:rFonts w:ascii="宋体" w:hAnsi="宋体" w:hint="eastAsia"/>
                <w:szCs w:val="18"/>
              </w:rPr>
              <w:t>0.692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相对密度（空气＝1）：</w:t>
            </w:r>
            <w:r>
              <w:rPr>
                <w:rFonts w:ascii="宋体" w:hAnsi="宋体" w:hint="eastAsia"/>
                <w:szCs w:val="18"/>
              </w:rPr>
              <w:t>无资料</w:t>
            </w:r>
          </w:p>
        </w:tc>
      </w:tr>
      <w:tr w:rsidR="00D76B7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燃烧热（kJ/mol）：</w:t>
            </w:r>
            <w:r>
              <w:rPr>
                <w:rFonts w:ascii="宋体" w:hAnsi="宋体" w:hint="eastAsia"/>
                <w:szCs w:val="18"/>
              </w:rPr>
              <w:t>无资料</w:t>
            </w:r>
          </w:p>
        </w:tc>
      </w:tr>
      <w:tr w:rsidR="00D76B77"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临界压力（MPa）：</w:t>
            </w:r>
          </w:p>
        </w:tc>
      </w:tr>
      <w:tr w:rsidR="00D76B7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燃</w:t>
            </w:r>
          </w:p>
          <w:p w:rsidR="00D76B77" w:rsidRDefault="00D76B77" w:rsidP="0090435F">
            <w:pPr>
              <w:spacing w:line="262" w:lineRule="exact"/>
              <w:jc w:val="center"/>
              <w:rPr>
                <w:rFonts w:ascii="宋体" w:hAnsi="宋体"/>
              </w:rPr>
            </w:pPr>
            <w:r>
              <w:rPr>
                <w:rFonts w:ascii="宋体" w:hAnsi="宋体" w:hint="eastAsia"/>
              </w:rPr>
              <w:t>烧</w:t>
            </w:r>
          </w:p>
          <w:p w:rsidR="00D76B77" w:rsidRDefault="00D76B77" w:rsidP="0090435F">
            <w:pPr>
              <w:spacing w:line="262" w:lineRule="exact"/>
              <w:jc w:val="center"/>
              <w:rPr>
                <w:rFonts w:ascii="宋体" w:hAnsi="宋体"/>
              </w:rPr>
            </w:pPr>
            <w:r>
              <w:rPr>
                <w:rFonts w:ascii="宋体" w:hAnsi="宋体" w:hint="eastAsia"/>
              </w:rPr>
              <w:t>爆</w:t>
            </w:r>
          </w:p>
          <w:p w:rsidR="00D76B77" w:rsidRDefault="00D76B77" w:rsidP="0090435F">
            <w:pPr>
              <w:spacing w:line="262" w:lineRule="exact"/>
              <w:jc w:val="center"/>
              <w:rPr>
                <w:rFonts w:ascii="宋体" w:hAnsi="宋体"/>
              </w:rPr>
            </w:pPr>
            <w:r>
              <w:rPr>
                <w:rFonts w:ascii="宋体" w:hAnsi="宋体" w:hint="eastAsia"/>
              </w:rPr>
              <w:t>炸</w:t>
            </w:r>
          </w:p>
          <w:p w:rsidR="00D76B77" w:rsidRDefault="00D76B77" w:rsidP="0090435F">
            <w:pPr>
              <w:spacing w:line="262" w:lineRule="exact"/>
              <w:jc w:val="center"/>
              <w:rPr>
                <w:rFonts w:ascii="宋体" w:hAnsi="宋体"/>
              </w:rPr>
            </w:pPr>
            <w:r>
              <w:rPr>
                <w:rFonts w:ascii="宋体" w:hAnsi="宋体" w:hint="eastAsia"/>
              </w:rPr>
              <w:t>危</w:t>
            </w:r>
          </w:p>
          <w:p w:rsidR="00D76B77" w:rsidRDefault="00D76B77" w:rsidP="0090435F">
            <w:pPr>
              <w:spacing w:line="262" w:lineRule="exact"/>
              <w:jc w:val="center"/>
              <w:rPr>
                <w:rFonts w:ascii="宋体" w:hAnsi="宋体"/>
              </w:rPr>
            </w:pPr>
            <w:r>
              <w:rPr>
                <w:rFonts w:ascii="宋体" w:hAnsi="宋体" w:hint="eastAsia"/>
              </w:rPr>
              <w:t>险</w:t>
            </w:r>
          </w:p>
          <w:p w:rsidR="00D76B77" w:rsidRDefault="00D76B77" w:rsidP="0090435F">
            <w:pPr>
              <w:spacing w:line="26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闪点（℃）：-2</w:t>
            </w:r>
          </w:p>
        </w:tc>
      </w:tr>
      <w:tr w:rsidR="00D76B77" w:rsidTr="0090435F">
        <w:trPr>
          <w:cantSplit/>
          <w:jc w:val="center"/>
        </w:trPr>
        <w:tc>
          <w:tcPr>
            <w:tcW w:w="489" w:type="dxa"/>
            <w:vMerge/>
            <w:tcBorders>
              <w:top w:val="single" w:sz="4" w:space="0" w:color="auto"/>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爆炸上限（%）：</w:t>
            </w:r>
            <w:r>
              <w:rPr>
                <w:rFonts w:ascii="宋体" w:hAnsi="宋体" w:hint="eastAsia"/>
                <w:szCs w:val="18"/>
              </w:rPr>
              <w:t>无资料</w:t>
            </w:r>
          </w:p>
        </w:tc>
      </w:tr>
      <w:tr w:rsidR="00D76B77" w:rsidTr="0090435F">
        <w:trPr>
          <w:cantSplit/>
          <w:jc w:val="center"/>
        </w:trPr>
        <w:tc>
          <w:tcPr>
            <w:tcW w:w="489" w:type="dxa"/>
            <w:vMerge/>
            <w:tcBorders>
              <w:top w:val="single" w:sz="4" w:space="0" w:color="auto"/>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最小点火能（mJ）：</w:t>
            </w:r>
            <w:r>
              <w:rPr>
                <w:rFonts w:ascii="宋体" w:hAnsi="宋体" w:hint="eastAsia"/>
                <w:szCs w:val="18"/>
              </w:rPr>
              <w:t>无资料</w:t>
            </w:r>
          </w:p>
        </w:tc>
      </w:tr>
      <w:tr w:rsidR="00D76B77" w:rsidTr="0090435F">
        <w:trPr>
          <w:cantSplit/>
          <w:jc w:val="center"/>
        </w:trPr>
        <w:tc>
          <w:tcPr>
            <w:tcW w:w="489" w:type="dxa"/>
            <w:vMerge/>
            <w:tcBorders>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 xml:space="preserve">稳定性： </w:t>
            </w:r>
          </w:p>
        </w:tc>
      </w:tr>
      <w:tr w:rsidR="00D76B77" w:rsidTr="0090435F">
        <w:trPr>
          <w:cantSplit/>
          <w:jc w:val="center"/>
        </w:trPr>
        <w:tc>
          <w:tcPr>
            <w:tcW w:w="489" w:type="dxa"/>
            <w:vMerge/>
            <w:tcBorders>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D76B77" w:rsidTr="0090435F">
        <w:trPr>
          <w:cantSplit/>
          <w:jc w:val="center"/>
        </w:trPr>
        <w:tc>
          <w:tcPr>
            <w:tcW w:w="489" w:type="dxa"/>
            <w:vMerge/>
            <w:tcBorders>
              <w:left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color w:val="000000"/>
              </w:rPr>
              <w:t>禁忌物：强</w:t>
            </w:r>
            <w:r>
              <w:rPr>
                <w:rFonts w:ascii="宋体" w:hAnsi="宋体" w:hint="eastAsia"/>
                <w:szCs w:val="18"/>
              </w:rPr>
              <w:t>氧化剂。</w:t>
            </w:r>
          </w:p>
        </w:tc>
      </w:tr>
      <w:tr w:rsidR="00D76B77" w:rsidTr="0090435F">
        <w:trPr>
          <w:cantSplit/>
          <w:jc w:val="center"/>
        </w:trPr>
        <w:tc>
          <w:tcPr>
            <w:tcW w:w="489" w:type="dxa"/>
            <w:vMerge/>
            <w:tcBorders>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D76B77" w:rsidTr="0090435F">
        <w:trPr>
          <w:cantSplit/>
          <w:jc w:val="center"/>
        </w:trPr>
        <w:tc>
          <w:tcPr>
            <w:tcW w:w="489" w:type="dxa"/>
            <w:vMerge/>
            <w:tcBorders>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尽可能将容器从火场移至空旷处。喷水保持火场容器冷却，直至灭火结束。处在火场中的容器若已变色或从安全泄压装置中产生声音，必须马上撤离。灭火剂：雾状水、泡沫、干粉、二氧化碳、砂土。不宜用水。</w:t>
            </w:r>
          </w:p>
        </w:tc>
      </w:tr>
      <w:tr w:rsidR="00D76B7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毒</w:t>
            </w:r>
          </w:p>
          <w:p w:rsidR="00D76B77" w:rsidRDefault="00D76B77" w:rsidP="0090435F">
            <w:pPr>
              <w:spacing w:line="26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D76B77" w:rsidRDefault="00D76B77"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D76B77"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侵入途经：吸入、食入、经皮吸收。</w:t>
            </w:r>
          </w:p>
        </w:tc>
      </w:tr>
      <w:tr w:rsidR="00D76B77"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szCs w:val="18"/>
              </w:rPr>
              <w:t>本品对粘膜有刺激作用，高浓度蒸气具麻醉性。</w:t>
            </w:r>
          </w:p>
        </w:tc>
      </w:tr>
      <w:tr w:rsidR="00D76B77" w:rsidTr="0090435F">
        <w:trPr>
          <w:cantSplit/>
          <w:jc w:val="center"/>
        </w:trPr>
        <w:tc>
          <w:tcPr>
            <w:tcW w:w="489" w:type="dxa"/>
            <w:tcBorders>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急</w:t>
            </w:r>
          </w:p>
          <w:p w:rsidR="00D76B77" w:rsidRDefault="00D76B77" w:rsidP="0090435F">
            <w:pPr>
              <w:spacing w:line="26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脱去污染的衣着，用大量流动清水冲洗。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D76B7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防</w:t>
            </w:r>
          </w:p>
          <w:p w:rsidR="00D76B77" w:rsidRDefault="00D76B77" w:rsidP="0090435F">
            <w:pPr>
              <w:spacing w:line="26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空气中浓度较高时，应该佩戴过滤式防毒面具（半面罩）。紧急事态抢救或逃生时，建议佩戴空气呼吸器。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D76B7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泄</w:t>
            </w:r>
          </w:p>
          <w:p w:rsidR="00D76B77" w:rsidRDefault="00D76B77" w:rsidP="0090435F">
            <w:pPr>
              <w:spacing w:line="262" w:lineRule="exact"/>
              <w:jc w:val="center"/>
              <w:rPr>
                <w:rFonts w:ascii="宋体" w:hAnsi="宋体"/>
              </w:rPr>
            </w:pPr>
            <w:r>
              <w:rPr>
                <w:rFonts w:ascii="宋体" w:hAnsi="宋体" w:hint="eastAsia"/>
              </w:rPr>
              <w:t>漏</w:t>
            </w:r>
          </w:p>
          <w:p w:rsidR="00D76B77" w:rsidRDefault="00D76B77" w:rsidP="0090435F">
            <w:pPr>
              <w:spacing w:line="262" w:lineRule="exact"/>
              <w:jc w:val="center"/>
              <w:rPr>
                <w:rFonts w:ascii="宋体" w:hAnsi="宋体"/>
              </w:rPr>
            </w:pPr>
            <w:r>
              <w:rPr>
                <w:rFonts w:ascii="宋体" w:hAnsi="宋体" w:hint="eastAsia"/>
              </w:rPr>
              <w:t>处</w:t>
            </w:r>
          </w:p>
          <w:p w:rsidR="00D76B77" w:rsidRDefault="00D76B77" w:rsidP="0090435F">
            <w:pPr>
              <w:spacing w:line="26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76B77" w:rsidRDefault="00D76B77"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全棉防毒服。从上风处进入现场。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D76B77" w:rsidTr="0090435F">
        <w:trPr>
          <w:cantSplit/>
          <w:jc w:val="center"/>
        </w:trPr>
        <w:tc>
          <w:tcPr>
            <w:tcW w:w="489" w:type="dxa"/>
            <w:tcBorders>
              <w:top w:val="single" w:sz="4" w:space="0" w:color="auto"/>
              <w:left w:val="single" w:sz="4" w:space="0" w:color="auto"/>
              <w:right w:val="single" w:sz="4" w:space="0" w:color="auto"/>
            </w:tcBorders>
            <w:vAlign w:val="center"/>
          </w:tcPr>
          <w:p w:rsidR="00D76B77" w:rsidRDefault="00D76B77" w:rsidP="0090435F">
            <w:pPr>
              <w:spacing w:line="262" w:lineRule="exact"/>
              <w:jc w:val="center"/>
              <w:rPr>
                <w:rFonts w:ascii="宋体" w:hAnsi="宋体"/>
              </w:rPr>
            </w:pPr>
            <w:r>
              <w:rPr>
                <w:rFonts w:ascii="宋体" w:hAnsi="宋体" w:hint="eastAsia"/>
              </w:rPr>
              <w:t>储</w:t>
            </w:r>
          </w:p>
          <w:p w:rsidR="00D76B77" w:rsidRDefault="00D76B77" w:rsidP="0090435F">
            <w:pPr>
              <w:spacing w:line="26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76B77" w:rsidRDefault="00D76B77" w:rsidP="0090435F">
            <w:pPr>
              <w:spacing w:line="262"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食用化学品分开存放，切忌混储。采用防爆型照明、通风设施。禁止使用易产生火花的机械设备和工具。储区应备有泄漏应急处理设备和合适的收容材料。</w:t>
            </w:r>
          </w:p>
          <w:p w:rsidR="00D76B77" w:rsidRDefault="00D76B77"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77"/>
    <w:rsid w:val="00D76B7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2EEC9-B027-416A-851A-2FEF683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76B7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76B7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Company>zyhq</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